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771C49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="0065393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瑞穗國中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="0065393A">
                        <w:rPr>
                          <w:rFonts w:ascii="標楷體" w:eastAsia="標楷體" w:hAnsi="標楷體" w:hint="eastAsia"/>
                          <w:b/>
                        </w:rPr>
                        <w:t>瑞穗國中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65393A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資深教師有效教學進階南</w:t>
      </w:r>
      <w:r w:rsidR="005A6FD0" w:rsidRPr="00854EC4">
        <w:rPr>
          <w:rFonts w:ascii="標楷體" w:eastAsia="標楷體" w:hAnsi="標楷體" w:hint="eastAsia"/>
          <w:b/>
          <w:sz w:val="28"/>
          <w:szCs w:val="28"/>
        </w:rPr>
        <w:t>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</w:p>
    <w:p w:rsidR="005A6FD0" w:rsidRPr="0065393A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壹</w:t>
      </w:r>
      <w:r w:rsidRPr="0065393A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教育部補助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65393A">
        <w:rPr>
          <w:rFonts w:ascii="標楷體" w:eastAsia="標楷體" w:hAnsi="標楷體"/>
          <w:sz w:val="24"/>
          <w:szCs w:val="24"/>
        </w:rPr>
        <w:t>縣(市)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65393A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65393A">
        <w:rPr>
          <w:rFonts w:ascii="標楷體" w:eastAsia="標楷體" w:hAnsi="標楷體"/>
          <w:sz w:val="24"/>
          <w:szCs w:val="24"/>
        </w:rPr>
        <w:t>要點。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縣1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65393A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65393A">
        <w:rPr>
          <w:rFonts w:ascii="標楷體" w:eastAsia="標楷體" w:hAnsi="標楷體"/>
          <w:sz w:val="24"/>
          <w:szCs w:val="24"/>
        </w:rPr>
        <w:t>計畫。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貳</w:t>
      </w:r>
      <w:r w:rsidRPr="0065393A">
        <w:rPr>
          <w:rFonts w:ascii="標楷體" w:eastAsia="標楷體" w:hAnsi="標楷體"/>
          <w:b/>
          <w:sz w:val="24"/>
          <w:szCs w:val="24"/>
        </w:rPr>
        <w:t>、</w:t>
      </w:r>
      <w:r w:rsidRPr="0065393A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参</w:t>
      </w:r>
      <w:r w:rsidRPr="0065393A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提供資深教師教學相關新知以及教學科技工具使用相關增能。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協助資深教師落實職涯成長。</w:t>
      </w:r>
    </w:p>
    <w:p w:rsidR="005A6FD0" w:rsidRPr="0065393A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肆</w:t>
      </w:r>
      <w:r w:rsidRPr="0065393A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指導單位：教育部國民及學前教育署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/>
          <w:sz w:val="24"/>
          <w:szCs w:val="24"/>
        </w:rPr>
        <w:t>主辦單位：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縣政府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65393A">
        <w:rPr>
          <w:rFonts w:ascii="標楷體" w:eastAsia="標楷體" w:hAnsi="標楷體"/>
          <w:sz w:val="24"/>
          <w:szCs w:val="24"/>
        </w:rPr>
        <w:t>承辦單位：</w:t>
      </w:r>
      <w:r w:rsidR="0065393A">
        <w:rPr>
          <w:rFonts w:ascii="標楷體" w:eastAsia="標楷體" w:hAnsi="標楷體" w:hint="eastAsia"/>
          <w:sz w:val="24"/>
          <w:szCs w:val="24"/>
        </w:rPr>
        <w:t>瑞穗國中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伍、</w:t>
      </w:r>
      <w:r w:rsidRPr="0065393A">
        <w:rPr>
          <w:rFonts w:ascii="標楷體" w:eastAsia="標楷體" w:hAnsi="標楷體"/>
          <w:b/>
          <w:sz w:val="24"/>
          <w:szCs w:val="24"/>
        </w:rPr>
        <w:t>辦理日期</w:t>
      </w:r>
      <w:r w:rsidRPr="0065393A">
        <w:rPr>
          <w:rFonts w:ascii="標楷體" w:eastAsia="標楷體" w:hAnsi="標楷體" w:hint="eastAsia"/>
          <w:sz w:val="24"/>
          <w:szCs w:val="24"/>
        </w:rPr>
        <w:t>(時間、時數等)</w:t>
      </w:r>
      <w:r w:rsidRPr="0065393A">
        <w:rPr>
          <w:rFonts w:ascii="標楷體" w:eastAsia="標楷體" w:hAnsi="標楷體"/>
          <w:sz w:val="24"/>
          <w:szCs w:val="24"/>
        </w:rPr>
        <w:t>及地點</w:t>
      </w:r>
      <w:r w:rsidRPr="0065393A">
        <w:rPr>
          <w:rFonts w:ascii="標楷體" w:eastAsia="標楷體" w:hAnsi="標楷體" w:hint="eastAsia"/>
          <w:sz w:val="24"/>
          <w:szCs w:val="24"/>
        </w:rPr>
        <w:t>(包含研習時數)</w:t>
      </w:r>
    </w:p>
    <w:p w:rsid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 w:rsidRPr="0065393A">
        <w:rPr>
          <w:rFonts w:ascii="標楷體" w:eastAsia="標楷體" w:hAnsi="標楷體" w:hint="eastAsia"/>
          <w:szCs w:val="24"/>
        </w:rPr>
        <w:t>辦理日期：</w:t>
      </w:r>
      <w:r>
        <w:rPr>
          <w:rFonts w:ascii="標楷體" w:eastAsia="標楷體" w:hAnsi="標楷體" w:hint="eastAsia"/>
          <w:szCs w:val="24"/>
        </w:rPr>
        <w:t>(一)</w:t>
      </w:r>
      <w:r w:rsidR="005A6FD0" w:rsidRPr="0065393A">
        <w:rPr>
          <w:rFonts w:ascii="標楷體" w:eastAsia="標楷體" w:hAnsi="標楷體" w:hint="eastAsia"/>
          <w:szCs w:val="24"/>
        </w:rPr>
        <w:t>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1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8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65393A">
        <w:rPr>
          <w:rFonts w:ascii="標楷體" w:eastAsia="標楷體" w:hAnsi="標楷體" w:hint="eastAsia"/>
          <w:szCs w:val="24"/>
        </w:rPr>
        <w:t>辦理時間：13:10~16:30</w:t>
      </w:r>
    </w:p>
    <w:p w:rsidR="005A6FD0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三、辦理地點：(一)5月1日：三民國小</w:t>
      </w:r>
    </w:p>
    <w:p w:rsidR="0065393A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(二)5月8日：瑞穗國中</w:t>
      </w:r>
    </w:p>
    <w:p w:rsidR="005A6FD0" w:rsidRPr="0065393A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陸、</w:t>
      </w:r>
      <w:r w:rsidRPr="0065393A">
        <w:rPr>
          <w:rFonts w:ascii="標楷體" w:eastAsia="標楷體" w:hAnsi="標楷體"/>
          <w:b/>
          <w:sz w:val="24"/>
          <w:szCs w:val="24"/>
        </w:rPr>
        <w:t>參加對象</w:t>
      </w:r>
      <w:r w:rsidRPr="0065393A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0616CC" w:rsidRPr="000616CC" w:rsidRDefault="000616CC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65393A">
        <w:rPr>
          <w:rFonts w:ascii="標楷體" w:eastAsia="標楷體" w:hAnsi="標楷體" w:hint="eastAsia"/>
          <w:b/>
          <w:szCs w:val="24"/>
        </w:rPr>
        <w:t>5/1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65393A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65393A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7F42C4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7F42C4" w:rsidRP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65393A" w:rsidRDefault="000A7151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A82369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7F42C4" w:rsidRPr="007F42C4" w:rsidRDefault="000A7151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71B85" w:rsidRDefault="00B71B85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B71B85">
        <w:rPr>
          <w:rFonts w:ascii="標楷體" w:eastAsia="標楷體" w:hAnsi="標楷體" w:hint="eastAsia"/>
          <w:b/>
          <w:szCs w:val="24"/>
        </w:rPr>
        <w:t>5/8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71B85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17813" w:rsidRDefault="00B17813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Pr="005A6FD0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5A6FD0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CD7365" w:rsidRDefault="008213F4" w:rsidP="008213F4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Pr="007F42C4">
        <w:rPr>
          <w:rFonts w:ascii="標楷體" w:eastAsia="標楷體" w:hAnsi="標楷體"/>
          <w:b/>
          <w:sz w:val="24"/>
          <w:szCs w:val="24"/>
        </w:rPr>
        <w:t>、</w:t>
      </w:r>
      <w:r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8213F4" w:rsidRDefault="008213F4" w:rsidP="008213F4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8213F4" w:rsidRPr="00173261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CD7365">
        <w:rPr>
          <w:rFonts w:ascii="標楷體" w:eastAsia="標楷體" w:hAnsi="標楷體" w:hint="eastAsia"/>
          <w:b/>
          <w:sz w:val="24"/>
          <w:szCs w:val="24"/>
        </w:rPr>
        <w:t>玖、</w:t>
      </w:r>
      <w:r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8213F4" w:rsidRPr="00497F11" w:rsidRDefault="008213F4" w:rsidP="00497F1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Gungsuh"/>
          <w:szCs w:val="24"/>
        </w:rPr>
      </w:pPr>
      <w:r w:rsidRPr="00497F11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8213F4" w:rsidRPr="008E48C4" w:rsidRDefault="008213F4" w:rsidP="008213F4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213F4" w:rsidRPr="008E48C4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szCs w:val="24"/>
        </w:rPr>
      </w:pPr>
      <w:r w:rsidRPr="00173261">
        <w:rPr>
          <w:rFonts w:ascii="標楷體" w:eastAsia="標楷體" w:hAnsi="標楷體" w:hint="eastAsia"/>
          <w:b/>
          <w:sz w:val="24"/>
          <w:szCs w:val="24"/>
        </w:rPr>
        <w:t>拾、</w:t>
      </w:r>
      <w:r w:rsidRPr="008E48C4">
        <w:rPr>
          <w:rFonts w:ascii="標楷體" w:eastAsia="標楷體" w:hAnsi="標楷體"/>
          <w:b/>
          <w:sz w:val="24"/>
          <w:szCs w:val="24"/>
        </w:rPr>
        <w:t>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213F4" w:rsidRPr="008E48C4" w:rsidRDefault="008213F4" w:rsidP="00771C49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Pr="008E48C4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317ACE" w:rsidRPr="008213F4" w:rsidRDefault="00317ACE" w:rsidP="008213F4">
      <w:pPr>
        <w:adjustRightInd w:val="0"/>
        <w:snapToGrid w:val="0"/>
        <w:spacing w:after="0" w:line="240" w:lineRule="atLeast"/>
        <w:rPr>
          <w:rFonts w:ascii="標楷體" w:eastAsia="標楷體" w:hAnsi="標楷體" w:cs="Gungsuh"/>
          <w:szCs w:val="24"/>
        </w:rPr>
      </w:pPr>
    </w:p>
    <w:sectPr w:rsidR="00317ACE" w:rsidRPr="008213F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41" w:rsidRDefault="006D0441" w:rsidP="00B17813">
      <w:pPr>
        <w:spacing w:after="0" w:line="240" w:lineRule="auto"/>
      </w:pPr>
      <w:r>
        <w:separator/>
      </w:r>
    </w:p>
  </w:endnote>
  <w:endnote w:type="continuationSeparator" w:id="0">
    <w:p w:rsidR="006D0441" w:rsidRDefault="006D0441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41" w:rsidRDefault="006D0441" w:rsidP="00B17813">
      <w:pPr>
        <w:spacing w:after="0" w:line="240" w:lineRule="auto"/>
      </w:pPr>
      <w:r>
        <w:separator/>
      </w:r>
    </w:p>
  </w:footnote>
  <w:footnote w:type="continuationSeparator" w:id="0">
    <w:p w:rsidR="006D0441" w:rsidRDefault="006D0441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FD9"/>
    <w:multiLevelType w:val="hybridMultilevel"/>
    <w:tmpl w:val="B1B85368"/>
    <w:lvl w:ilvl="0" w:tplc="A9047DB2">
      <w:start w:val="1"/>
      <w:numFmt w:val="taiwaneseCountingThousand"/>
      <w:lvlText w:val="%1、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9AD34CC"/>
    <w:multiLevelType w:val="hybridMultilevel"/>
    <w:tmpl w:val="B4F247B2"/>
    <w:lvl w:ilvl="0" w:tplc="05226B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D1F3586"/>
    <w:multiLevelType w:val="hybridMultilevel"/>
    <w:tmpl w:val="DEF023A0"/>
    <w:lvl w:ilvl="0" w:tplc="0952082C">
      <w:start w:val="1"/>
      <w:numFmt w:val="taiwaneseCountingThousand"/>
      <w:lvlText w:val="%1、"/>
      <w:lvlJc w:val="left"/>
      <w:pPr>
        <w:ind w:left="504" w:hanging="504"/>
      </w:pPr>
      <w:rPr>
        <w:rFonts w:cs="Gungsuh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2F6A58"/>
    <w:multiLevelType w:val="hybridMultilevel"/>
    <w:tmpl w:val="F7A0527E"/>
    <w:lvl w:ilvl="0" w:tplc="2AEC0CD8">
      <w:start w:val="1"/>
      <w:numFmt w:val="none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624F9"/>
    <w:multiLevelType w:val="hybridMultilevel"/>
    <w:tmpl w:val="77463848"/>
    <w:lvl w:ilvl="0" w:tplc="7EE8F61E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42D12"/>
    <w:multiLevelType w:val="hybridMultilevel"/>
    <w:tmpl w:val="59E0549C"/>
    <w:lvl w:ilvl="0" w:tplc="6FC07908">
      <w:start w:val="1"/>
      <w:numFmt w:val="taiwaneseCountingThousand"/>
      <w:lvlText w:val="%1、"/>
      <w:lvlJc w:val="left"/>
      <w:pPr>
        <w:ind w:left="1206" w:hanging="480"/>
      </w:pPr>
      <w:rPr>
        <w:rFonts w:ascii="標楷體" w:eastAsia="標楷體" w:hAnsi="標楷體" w:cs="Gungsuh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616CC"/>
    <w:rsid w:val="00076A59"/>
    <w:rsid w:val="00080C32"/>
    <w:rsid w:val="000A7151"/>
    <w:rsid w:val="000C6874"/>
    <w:rsid w:val="000F4636"/>
    <w:rsid w:val="001303A3"/>
    <w:rsid w:val="0015617D"/>
    <w:rsid w:val="001658DD"/>
    <w:rsid w:val="00173261"/>
    <w:rsid w:val="001C1768"/>
    <w:rsid w:val="002547EA"/>
    <w:rsid w:val="002559FB"/>
    <w:rsid w:val="00265E75"/>
    <w:rsid w:val="00274D32"/>
    <w:rsid w:val="002B0676"/>
    <w:rsid w:val="002D1159"/>
    <w:rsid w:val="002F3B27"/>
    <w:rsid w:val="00317ACE"/>
    <w:rsid w:val="00336225"/>
    <w:rsid w:val="00343CF8"/>
    <w:rsid w:val="00352B68"/>
    <w:rsid w:val="003A44E8"/>
    <w:rsid w:val="003D041D"/>
    <w:rsid w:val="00473439"/>
    <w:rsid w:val="00495868"/>
    <w:rsid w:val="00497F11"/>
    <w:rsid w:val="004B63A9"/>
    <w:rsid w:val="004B77D0"/>
    <w:rsid w:val="004F2D39"/>
    <w:rsid w:val="00573B69"/>
    <w:rsid w:val="005A6FD0"/>
    <w:rsid w:val="00616058"/>
    <w:rsid w:val="0065393A"/>
    <w:rsid w:val="0065698C"/>
    <w:rsid w:val="00674C61"/>
    <w:rsid w:val="006C4F8C"/>
    <w:rsid w:val="006D0441"/>
    <w:rsid w:val="006F7CE2"/>
    <w:rsid w:val="00700634"/>
    <w:rsid w:val="007040D2"/>
    <w:rsid w:val="00762CEB"/>
    <w:rsid w:val="00771C49"/>
    <w:rsid w:val="007A3CC7"/>
    <w:rsid w:val="007F42C4"/>
    <w:rsid w:val="007F7AFC"/>
    <w:rsid w:val="00814565"/>
    <w:rsid w:val="008213F4"/>
    <w:rsid w:val="00854EC4"/>
    <w:rsid w:val="00855B1D"/>
    <w:rsid w:val="00876869"/>
    <w:rsid w:val="008901FA"/>
    <w:rsid w:val="008B2EF7"/>
    <w:rsid w:val="0098753C"/>
    <w:rsid w:val="00A36338"/>
    <w:rsid w:val="00A528F2"/>
    <w:rsid w:val="00A607BF"/>
    <w:rsid w:val="00A82369"/>
    <w:rsid w:val="00AA0084"/>
    <w:rsid w:val="00B0132A"/>
    <w:rsid w:val="00B17813"/>
    <w:rsid w:val="00B265A4"/>
    <w:rsid w:val="00B30FE3"/>
    <w:rsid w:val="00B63994"/>
    <w:rsid w:val="00B71B85"/>
    <w:rsid w:val="00B917A8"/>
    <w:rsid w:val="00B91EB6"/>
    <w:rsid w:val="00B9741E"/>
    <w:rsid w:val="00BA47F8"/>
    <w:rsid w:val="00BC2BBB"/>
    <w:rsid w:val="00BF1602"/>
    <w:rsid w:val="00CC4549"/>
    <w:rsid w:val="00CC79A5"/>
    <w:rsid w:val="00CF6A53"/>
    <w:rsid w:val="00CF7ECF"/>
    <w:rsid w:val="00D0538B"/>
    <w:rsid w:val="00D27892"/>
    <w:rsid w:val="00D613C8"/>
    <w:rsid w:val="00D93812"/>
    <w:rsid w:val="00D965D4"/>
    <w:rsid w:val="00E15420"/>
    <w:rsid w:val="00E50B8D"/>
    <w:rsid w:val="00E6099C"/>
    <w:rsid w:val="00E654D8"/>
    <w:rsid w:val="00E7007D"/>
    <w:rsid w:val="00E87A0D"/>
    <w:rsid w:val="00EA0621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3181-4AC5-4369-AE58-1AF84D0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2019-04-17T02:58:00Z</dcterms:created>
  <dcterms:modified xsi:type="dcterms:W3CDTF">2019-04-17T02:58:00Z</dcterms:modified>
</cp:coreProperties>
</file>